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b/>
          <w:b/>
          <w:i/>
          <w:i/>
        </w:rPr>
      </w:pPr>
      <w:r>
        <w:rPr>
          <w:b/>
          <w:i/>
        </w:rPr>
        <w:t xml:space="preserve">                                      </w:t>
      </w:r>
      <w:r>
        <w:rPr>
          <w:b/>
          <w:i/>
        </w:rPr>
        <w:t>Załącznik nr 7 do SIWZ</w:t>
      </w:r>
    </w:p>
    <w:p>
      <w:pPr>
        <w:pStyle w:val="Normal"/>
        <w:rPr>
          <w:b/>
          <w:b/>
        </w:rPr>
      </w:pPr>
      <w:r>
        <w:rPr>
          <w:b/>
        </w:rPr>
      </w:r>
    </w:p>
    <w:p>
      <w:pPr>
        <w:pStyle w:val="Normal"/>
        <w:rPr>
          <w:b/>
          <w:b/>
        </w:rPr>
      </w:pPr>
      <w:r>
        <w:rPr>
          <w:b/>
        </w:rPr>
      </w:r>
    </w:p>
    <w:p>
      <w:pPr>
        <w:pStyle w:val="Normal"/>
        <w:rPr>
          <w:sz w:val="20"/>
          <w:szCs w:val="20"/>
        </w:rPr>
      </w:pPr>
      <w:r>
        <w:rPr>
          <w:sz w:val="20"/>
          <w:szCs w:val="20"/>
        </w:rPr>
        <w:t xml:space="preserve">             </w:t>
      </w:r>
      <w:r>
        <w:rPr>
          <w:sz w:val="20"/>
          <w:szCs w:val="20"/>
        </w:rPr>
        <w:t>(pieczęć Wykonawcy )</w:t>
      </w:r>
    </w:p>
    <w:p>
      <w:pPr>
        <w:pStyle w:val="Normal"/>
        <w:rPr>
          <w:sz w:val="20"/>
          <w:szCs w:val="20"/>
        </w:rPr>
      </w:pPr>
      <w:r>
        <w:rPr>
          <w:sz w:val="20"/>
          <w:szCs w:val="20"/>
        </w:rPr>
      </w:r>
    </w:p>
    <w:p>
      <w:pPr>
        <w:pStyle w:val="Normal"/>
        <w:rPr>
          <w:b/>
          <w:b/>
        </w:rPr>
      </w:pPr>
      <w:r>
        <w:rPr>
          <w:b/>
        </w:rPr>
        <w:t xml:space="preserve">                </w:t>
      </w:r>
      <w:r>
        <w:rPr>
          <w:b/>
        </w:rPr>
        <w:t>WYKONAWCA</w:t>
      </w:r>
    </w:p>
    <w:p>
      <w:pPr>
        <w:pStyle w:val="Normal"/>
        <w:rPr>
          <w:b/>
          <w:b/>
          <w:sz w:val="20"/>
          <w:szCs w:val="20"/>
        </w:rPr>
      </w:pPr>
      <w:r>
        <w:rPr>
          <w:b/>
          <w:sz w:val="20"/>
          <w:szCs w:val="20"/>
        </w:rPr>
      </w:r>
    </w:p>
    <w:p>
      <w:pPr>
        <w:pStyle w:val="Normal"/>
        <w:spacing w:lineRule="auto" w:line="360"/>
        <w:rPr>
          <w:b/>
          <w:b/>
        </w:rPr>
      </w:pPr>
      <w:r>
        <w:rPr>
          <w:b/>
        </w:rPr>
        <w:t>…………………………………………</w:t>
      </w:r>
      <w:r>
        <w:rPr>
          <w:b/>
        </w:rPr>
        <w:t>.</w:t>
      </w:r>
    </w:p>
    <w:p>
      <w:pPr>
        <w:pStyle w:val="Normal"/>
        <w:spacing w:lineRule="auto" w:line="360"/>
        <w:rPr>
          <w:b/>
          <w:b/>
        </w:rPr>
      </w:pPr>
      <w:r>
        <w:rPr>
          <w:b/>
        </w:rPr>
        <w:t>…………………………………………</w:t>
      </w:r>
      <w:r>
        <w:rPr>
          <w:b/>
        </w:rPr>
        <w:t>.</w:t>
      </w:r>
    </w:p>
    <w:p>
      <w:pPr>
        <w:pStyle w:val="Normal"/>
        <w:spacing w:lineRule="auto" w:line="360"/>
        <w:rPr>
          <w:b/>
          <w:b/>
        </w:rPr>
      </w:pPr>
      <w:r>
        <w:rPr>
          <w:b/>
        </w:rPr>
        <w:t>…………………………………………</w:t>
      </w:r>
      <w:r>
        <w:rPr>
          <w:b/>
        </w:rPr>
        <w:t>.</w:t>
      </w:r>
    </w:p>
    <w:p>
      <w:pPr>
        <w:pStyle w:val="Normal"/>
        <w:spacing w:lineRule="auto" w:line="360"/>
        <w:rPr>
          <w:sz w:val="20"/>
          <w:szCs w:val="20"/>
        </w:rPr>
      </w:pPr>
      <w:r>
        <w:rPr>
          <w:sz w:val="20"/>
          <w:szCs w:val="20"/>
        </w:rPr>
        <w:t>( imię i nazwisko, nazwa i adres Wykonawcy)</w:t>
      </w:r>
    </w:p>
    <w:p>
      <w:pPr>
        <w:pStyle w:val="Normal"/>
        <w:jc w:val="center"/>
        <w:rPr>
          <w:rFonts w:ascii="Garamond" w:hAnsi="Garamond" w:cs="TimesNewRomanPS-BoldMT"/>
          <w:b/>
          <w:b/>
          <w:bCs/>
          <w:sz w:val="22"/>
          <w:szCs w:val="22"/>
        </w:rPr>
      </w:pPr>
      <w:r>
        <w:rPr>
          <w:rFonts w:cs="TimesNewRomanPS-BoldMT" w:ascii="Garamond" w:hAnsi="Garamond"/>
          <w:b/>
          <w:bCs/>
          <w:sz w:val="22"/>
          <w:szCs w:val="22"/>
        </w:rPr>
      </w:r>
    </w:p>
    <w:p>
      <w:pPr>
        <w:pStyle w:val="Normal"/>
        <w:jc w:val="center"/>
        <w:rPr>
          <w:rFonts w:ascii="Garamond" w:hAnsi="Garamond" w:cs="TimesNewRomanPS-BoldMT"/>
          <w:b/>
          <w:b/>
          <w:bCs/>
          <w:sz w:val="22"/>
          <w:szCs w:val="22"/>
        </w:rPr>
      </w:pPr>
      <w:r>
        <w:rPr>
          <w:rFonts w:cs="TimesNewRomanPS-BoldMT" w:ascii="Garamond" w:hAnsi="Garamond"/>
          <w:b/>
          <w:bCs/>
          <w:sz w:val="22"/>
          <w:szCs w:val="22"/>
        </w:rPr>
      </w:r>
    </w:p>
    <w:p>
      <w:pPr>
        <w:pStyle w:val="Normal"/>
        <w:jc w:val="center"/>
        <w:rPr/>
      </w:pPr>
      <w:r>
        <w:rPr>
          <w:b/>
          <w:bCs/>
          <w:sz w:val="22"/>
          <w:szCs w:val="22"/>
        </w:rPr>
        <w:t>WYKAZ NARZĘDZI I URZĄDZEŃ TECHNICZNYCH DOSTĘPNYCH WYKONAWCY USŁUG W CELU REALIZACJI ZAMÓWIENIA</w:t>
      </w:r>
      <w:r>
        <w:rPr>
          <w:sz w:val="20"/>
          <w:szCs w:val="20"/>
        </w:rPr>
        <w:t xml:space="preserve"> publicznego prowadzonego przez Gminę Widawa, ul. Rynek Kościuszki 10-98-170 Widawa w trybie przetargu nieograniczonego na:</w:t>
      </w:r>
      <w:r>
        <w:rPr>
          <w:b/>
        </w:rPr>
        <w:t xml:space="preserve"> „Dowóz i odwóz uczniów szkół i placówek oświatowych prowadzonych przez Gminę Widawa i ich opiekunów w roku szkolnym 201</w:t>
      </w:r>
      <w:r>
        <w:rPr>
          <w:b/>
        </w:rPr>
        <w:t>9</w:t>
      </w:r>
      <w:r>
        <w:rPr>
          <w:b/>
        </w:rPr>
        <w:t>/20</w:t>
      </w:r>
      <w:r>
        <w:rPr>
          <w:b/>
        </w:rPr>
        <w:t>20</w:t>
      </w:r>
      <w:r>
        <w:rPr>
          <w:rFonts w:eastAsia="Calibri"/>
          <w:b/>
        </w:rPr>
        <w:t>”, RIK.271.</w:t>
      </w:r>
      <w:r>
        <w:rPr>
          <w:rFonts w:eastAsia="Calibri"/>
          <w:b/>
        </w:rPr>
        <w:t>8</w:t>
      </w:r>
      <w:r>
        <w:rPr>
          <w:rFonts w:eastAsia="Calibri"/>
          <w:b/>
        </w:rPr>
        <w:t>.201</w:t>
      </w:r>
      <w:r>
        <w:rPr>
          <w:rFonts w:eastAsia="Calibri"/>
          <w:b/>
        </w:rPr>
        <w:t>9</w:t>
      </w:r>
      <w:r>
        <w:rPr>
          <w:rFonts w:eastAsia="Calibri"/>
          <w:b/>
        </w:rPr>
        <w:t>.DK</w:t>
      </w:r>
    </w:p>
    <w:p>
      <w:pPr>
        <w:pStyle w:val="Nagwek2"/>
        <w:spacing w:before="0" w:after="120"/>
        <w:rPr>
          <w:szCs w:val="24"/>
        </w:rPr>
      </w:pPr>
      <w:r>
        <w:rPr>
          <w:szCs w:val="24"/>
        </w:rPr>
      </w:r>
    </w:p>
    <w:p>
      <w:pPr>
        <w:pStyle w:val="Nagwek2"/>
        <w:spacing w:before="0" w:after="120"/>
        <w:rPr/>
      </w:pPr>
      <w:r>
        <w:rPr>
          <w:szCs w:val="24"/>
        </w:rPr>
        <w:t>WYKAZ AUTOBUSÓW DOSTĘPNYCH WYKONAWCY W CELU REALIZACJI ZAMÓWIENIA WRAZ Z INFORMACJĄ O PODSTAWIE DYSPONOWANIA TYMI ZASOBAMI</w:t>
      </w:r>
    </w:p>
    <w:p>
      <w:pPr>
        <w:pStyle w:val="Normal"/>
        <w:rPr/>
      </w:pPr>
      <w:r>
        <w:rPr/>
      </w:r>
    </w:p>
    <w:tbl>
      <w:tblPr>
        <w:tblW w:w="8510" w:type="dxa"/>
        <w:jc w:val="left"/>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Look w:val="0000"/>
      </w:tblPr>
      <w:tblGrid>
        <w:gridCol w:w="525"/>
        <w:gridCol w:w="2570"/>
        <w:gridCol w:w="1358"/>
        <w:gridCol w:w="1714"/>
        <w:gridCol w:w="2343"/>
      </w:tblGrid>
      <w:tr>
        <w:trPr>
          <w:trHeight w:val="390" w:hRule="atLeast"/>
        </w:trPr>
        <w:tc>
          <w:tcPr>
            <w:tcW w:w="5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t>Lp.</w:t>
            </w:r>
          </w:p>
        </w:tc>
        <w:tc>
          <w:tcPr>
            <w:tcW w:w="25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t xml:space="preserve">Opis /rodzaj/ model/marka </w:t>
            </w:r>
          </w:p>
        </w:tc>
        <w:tc>
          <w:tcPr>
            <w:tcW w:w="13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before="0" w:after="200"/>
              <w:rPr/>
            </w:pPr>
            <w:r>
              <w:rPr/>
              <w:t>liczba miejsc siedzących</w:t>
            </w:r>
          </w:p>
          <w:p>
            <w:pPr>
              <w:pStyle w:val="Normal"/>
              <w:rPr/>
            </w:pPr>
            <w:r>
              <w:rPr/>
            </w:r>
          </w:p>
        </w:tc>
        <w:tc>
          <w:tcPr>
            <w:tcW w:w="17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t>Nr rejestracyjny</w:t>
            </w:r>
          </w:p>
        </w:tc>
        <w:tc>
          <w:tcPr>
            <w:tcW w:w="2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t>Prawo dysponowania</w:t>
            </w:r>
          </w:p>
        </w:tc>
      </w:tr>
      <w:tr>
        <w:trPr>
          <w:trHeight w:val="964" w:hRule="atLeast"/>
        </w:trPr>
        <w:tc>
          <w:tcPr>
            <w:tcW w:w="5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Garamond" w:hAnsi="Garamond"/>
              </w:rPr>
            </w:pPr>
            <w:r>
              <w:rPr>
                <w:rFonts w:ascii="Garamond" w:hAnsi="Garamond"/>
              </w:rPr>
            </w:r>
          </w:p>
        </w:tc>
        <w:tc>
          <w:tcPr>
            <w:tcW w:w="25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Garamond" w:hAnsi="Garamond"/>
              </w:rPr>
            </w:pPr>
            <w:r>
              <w:rPr>
                <w:rFonts w:ascii="Garamond" w:hAnsi="Garamond"/>
              </w:rPr>
            </w:r>
          </w:p>
        </w:tc>
        <w:tc>
          <w:tcPr>
            <w:tcW w:w="13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Garamond" w:hAnsi="Garamond"/>
              </w:rPr>
            </w:pPr>
            <w:r>
              <w:rPr>
                <w:rFonts w:ascii="Garamond" w:hAnsi="Garamond"/>
              </w:rPr>
            </w:r>
          </w:p>
        </w:tc>
        <w:tc>
          <w:tcPr>
            <w:tcW w:w="17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Garamond" w:hAnsi="Garamond"/>
              </w:rPr>
            </w:pPr>
            <w:r>
              <w:rPr>
                <w:rFonts w:ascii="Garamond" w:hAnsi="Garamond"/>
              </w:rPr>
            </w:r>
          </w:p>
        </w:tc>
        <w:tc>
          <w:tcPr>
            <w:tcW w:w="2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Garamond" w:hAnsi="Garamond"/>
              </w:rPr>
            </w:pPr>
            <w:r>
              <w:rPr>
                <w:rFonts w:ascii="Garamond" w:hAnsi="Garamond"/>
              </w:rPr>
            </w:r>
          </w:p>
        </w:tc>
      </w:tr>
      <w:tr>
        <w:trPr>
          <w:trHeight w:val="929" w:hRule="atLeast"/>
        </w:trPr>
        <w:tc>
          <w:tcPr>
            <w:tcW w:w="5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Garamond" w:hAnsi="Garamond"/>
              </w:rPr>
            </w:pPr>
            <w:r>
              <w:rPr>
                <w:rFonts w:ascii="Garamond" w:hAnsi="Garamond"/>
              </w:rPr>
            </w:r>
          </w:p>
        </w:tc>
        <w:tc>
          <w:tcPr>
            <w:tcW w:w="25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Garamond" w:hAnsi="Garamond"/>
              </w:rPr>
            </w:pPr>
            <w:r>
              <w:rPr>
                <w:rFonts w:ascii="Garamond" w:hAnsi="Garamond"/>
              </w:rPr>
            </w:r>
          </w:p>
        </w:tc>
        <w:tc>
          <w:tcPr>
            <w:tcW w:w="13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Garamond" w:hAnsi="Garamond"/>
              </w:rPr>
            </w:pPr>
            <w:r>
              <w:rPr>
                <w:rFonts w:ascii="Garamond" w:hAnsi="Garamond"/>
              </w:rPr>
            </w:r>
          </w:p>
        </w:tc>
        <w:tc>
          <w:tcPr>
            <w:tcW w:w="17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Garamond" w:hAnsi="Garamond"/>
              </w:rPr>
            </w:pPr>
            <w:r>
              <w:rPr>
                <w:rFonts w:ascii="Garamond" w:hAnsi="Garamond"/>
              </w:rPr>
            </w:r>
          </w:p>
        </w:tc>
        <w:tc>
          <w:tcPr>
            <w:tcW w:w="2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Garamond" w:hAnsi="Garamond"/>
              </w:rPr>
            </w:pPr>
            <w:r>
              <w:rPr>
                <w:rFonts w:ascii="Garamond" w:hAnsi="Garamond"/>
              </w:rPr>
            </w:r>
          </w:p>
        </w:tc>
      </w:tr>
      <w:tr>
        <w:trPr>
          <w:trHeight w:val="801" w:hRule="atLeast"/>
        </w:trPr>
        <w:tc>
          <w:tcPr>
            <w:tcW w:w="5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Garamond" w:hAnsi="Garamond"/>
              </w:rPr>
            </w:pPr>
            <w:r>
              <w:rPr>
                <w:rFonts w:ascii="Garamond" w:hAnsi="Garamond"/>
              </w:rPr>
            </w:r>
          </w:p>
        </w:tc>
        <w:tc>
          <w:tcPr>
            <w:tcW w:w="25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Garamond" w:hAnsi="Garamond"/>
              </w:rPr>
            </w:pPr>
            <w:r>
              <w:rPr>
                <w:rFonts w:ascii="Garamond" w:hAnsi="Garamond"/>
              </w:rPr>
            </w:r>
          </w:p>
        </w:tc>
        <w:tc>
          <w:tcPr>
            <w:tcW w:w="13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Garamond" w:hAnsi="Garamond"/>
              </w:rPr>
            </w:pPr>
            <w:r>
              <w:rPr>
                <w:rFonts w:ascii="Garamond" w:hAnsi="Garamond"/>
              </w:rPr>
            </w:r>
          </w:p>
        </w:tc>
        <w:tc>
          <w:tcPr>
            <w:tcW w:w="17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Garamond" w:hAnsi="Garamond"/>
              </w:rPr>
            </w:pPr>
            <w:r>
              <w:rPr>
                <w:rFonts w:ascii="Garamond" w:hAnsi="Garamond"/>
              </w:rPr>
            </w:r>
          </w:p>
        </w:tc>
        <w:tc>
          <w:tcPr>
            <w:tcW w:w="2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Garamond" w:hAnsi="Garamond"/>
              </w:rPr>
            </w:pPr>
            <w:r>
              <w:rPr>
                <w:rFonts w:ascii="Garamond" w:hAnsi="Garamond"/>
              </w:rPr>
            </w:r>
          </w:p>
        </w:tc>
      </w:tr>
      <w:tr>
        <w:trPr>
          <w:trHeight w:val="814" w:hRule="atLeast"/>
        </w:trPr>
        <w:tc>
          <w:tcPr>
            <w:tcW w:w="5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Garamond" w:hAnsi="Garamond"/>
              </w:rPr>
            </w:pPr>
            <w:r>
              <w:rPr>
                <w:rFonts w:ascii="Garamond" w:hAnsi="Garamond"/>
              </w:rPr>
            </w:r>
          </w:p>
        </w:tc>
        <w:tc>
          <w:tcPr>
            <w:tcW w:w="25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Garamond" w:hAnsi="Garamond"/>
              </w:rPr>
            </w:pPr>
            <w:r>
              <w:rPr>
                <w:rFonts w:ascii="Garamond" w:hAnsi="Garamond"/>
              </w:rPr>
            </w:r>
          </w:p>
        </w:tc>
        <w:tc>
          <w:tcPr>
            <w:tcW w:w="13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Garamond" w:hAnsi="Garamond"/>
              </w:rPr>
            </w:pPr>
            <w:r>
              <w:rPr>
                <w:rFonts w:ascii="Garamond" w:hAnsi="Garamond"/>
              </w:rPr>
            </w:r>
          </w:p>
        </w:tc>
        <w:tc>
          <w:tcPr>
            <w:tcW w:w="17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Garamond" w:hAnsi="Garamond"/>
              </w:rPr>
            </w:pPr>
            <w:r>
              <w:rPr>
                <w:rFonts w:ascii="Garamond" w:hAnsi="Garamond"/>
              </w:rPr>
            </w:r>
          </w:p>
        </w:tc>
        <w:tc>
          <w:tcPr>
            <w:tcW w:w="2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Garamond" w:hAnsi="Garamond"/>
              </w:rPr>
            </w:pPr>
            <w:r>
              <w:rPr>
                <w:rFonts w:ascii="Garamond" w:hAnsi="Garamond"/>
              </w:rPr>
            </w:r>
          </w:p>
        </w:tc>
      </w:tr>
    </w:tbl>
    <w:p>
      <w:pPr>
        <w:pStyle w:val="Normal"/>
        <w:rPr>
          <w:rFonts w:ascii="Garamond" w:hAnsi="Garamond"/>
        </w:rPr>
      </w:pPr>
      <w:r>
        <w:rPr>
          <w:rFonts w:ascii="Garamond" w:hAnsi="Garamond"/>
        </w:rPr>
      </w:r>
    </w:p>
    <w:p>
      <w:pPr>
        <w:pStyle w:val="Normal"/>
        <w:jc w:val="both"/>
        <w:rPr>
          <w:bCs/>
          <w:sz w:val="16"/>
          <w:szCs w:val="16"/>
        </w:rPr>
      </w:pPr>
      <w:r>
        <w:rPr>
          <w:bCs/>
          <w:sz w:val="16"/>
          <w:szCs w:val="16"/>
        </w:rPr>
        <w:t>Ilość pozycji niniejszego wykazu nie jest w żaden sposób limitowana i zależy od potrzeb Wykonawcy.</w:t>
      </w:r>
    </w:p>
    <w:p>
      <w:pPr>
        <w:pStyle w:val="Normal"/>
        <w:jc w:val="both"/>
        <w:rPr>
          <w:rFonts w:eastAsia="TimesNewRomanPSMT"/>
          <w:sz w:val="16"/>
          <w:szCs w:val="16"/>
        </w:rPr>
      </w:pPr>
      <w:r>
        <w:rPr>
          <w:rFonts w:eastAsia="TimesNewRomanPSMT"/>
          <w:sz w:val="16"/>
          <w:szCs w:val="16"/>
        </w:rPr>
      </w:r>
    </w:p>
    <w:p>
      <w:pPr>
        <w:pStyle w:val="Normal"/>
        <w:jc w:val="both"/>
        <w:rPr>
          <w:rFonts w:eastAsia="TimesNewRomanPSMT"/>
          <w:sz w:val="16"/>
          <w:szCs w:val="16"/>
        </w:rPr>
      </w:pPr>
      <w:r>
        <w:rPr>
          <w:rFonts w:eastAsia="TimesNewRomanPSMT"/>
          <w:sz w:val="16"/>
          <w:szCs w:val="16"/>
        </w:rPr>
      </w:r>
    </w:p>
    <w:p>
      <w:pPr>
        <w:pStyle w:val="Normal"/>
        <w:jc w:val="both"/>
        <w:rPr>
          <w:rFonts w:eastAsia="TimesNewRomanPSMT"/>
          <w:sz w:val="16"/>
          <w:szCs w:val="16"/>
        </w:rPr>
      </w:pPr>
      <w:r>
        <w:rPr>
          <w:rFonts w:eastAsia="TimesNewRomanPSMT"/>
          <w:sz w:val="16"/>
          <w:szCs w:val="16"/>
        </w:rPr>
        <w:t>*Jeżeli w wykazie, Wykonawca wskazał narzędzia, urządzenia techniczne, którymi będzie dysponował, zobowiązany jest do dołączenia do oferty pisemnego zobowiązania innych podmiotów do udostępnienia tych zasobów. Pisemne zobowiązanie innych podmiotów winno zawierać wyraźne oświadczenie innego podmiotu do oddania do dyspozycji Wykonawcy niezbędnych zasobów na okres korzystania z nich przy wykonywaniu zamówienia.</w:t>
      </w:r>
    </w:p>
    <w:p>
      <w:pPr>
        <w:pStyle w:val="Normal"/>
        <w:jc w:val="center"/>
        <w:rPr>
          <w:b/>
          <w:b/>
          <w:bCs/>
          <w:sz w:val="16"/>
          <w:szCs w:val="16"/>
        </w:rPr>
      </w:pPr>
      <w:r>
        <w:rPr>
          <w:b/>
          <w:bCs/>
          <w:sz w:val="16"/>
          <w:szCs w:val="16"/>
        </w:rPr>
      </w:r>
    </w:p>
    <w:p>
      <w:pPr>
        <w:pStyle w:val="Normal"/>
        <w:jc w:val="both"/>
        <w:rPr>
          <w:rFonts w:eastAsia="TimesNewRomanPSMT"/>
          <w:sz w:val="16"/>
          <w:szCs w:val="16"/>
        </w:rPr>
      </w:pPr>
      <w:r>
        <w:rPr>
          <w:rFonts w:eastAsia="TimesNewRomanPSMT"/>
          <w:sz w:val="16"/>
          <w:szCs w:val="16"/>
        </w:rPr>
        <w:t>W kolumnie „Uwagi” należy w szczególności wskazać, którego z Wykonawców wspólnie ubiegających się o udzielenie zamówienia dotyczy dany zakres informacji albo czy jest to zasób własny Wykonawcy czy oddany do dyspozycji przez inny podmiot.</w:t>
      </w:r>
    </w:p>
    <w:p>
      <w:pPr>
        <w:pStyle w:val="Normal"/>
        <w:jc w:val="both"/>
        <w:rPr>
          <w:rFonts w:eastAsia="TimesNewRomanPSMT"/>
          <w:sz w:val="16"/>
          <w:szCs w:val="16"/>
        </w:rPr>
      </w:pPr>
      <w:r>
        <w:rPr>
          <w:rFonts w:eastAsia="TimesNewRomanPSMT"/>
          <w:sz w:val="16"/>
          <w:szCs w:val="16"/>
        </w:rPr>
      </w:r>
    </w:p>
    <w:p>
      <w:pPr>
        <w:pStyle w:val="Normal"/>
        <w:jc w:val="both"/>
        <w:rPr>
          <w:rFonts w:eastAsia="TimesNewRomanPSMT"/>
          <w:sz w:val="16"/>
          <w:szCs w:val="16"/>
        </w:rPr>
      </w:pPr>
      <w:r>
        <w:rPr>
          <w:rFonts w:eastAsia="TimesNewRomanPSMT"/>
          <w:sz w:val="16"/>
          <w:szCs w:val="16"/>
        </w:rPr>
      </w:r>
    </w:p>
    <w:p>
      <w:pPr>
        <w:pStyle w:val="Normal"/>
        <w:jc w:val="both"/>
        <w:rPr>
          <w:rFonts w:eastAsia="TimesNewRomanPSMT"/>
          <w:sz w:val="16"/>
          <w:szCs w:val="16"/>
        </w:rPr>
      </w:pPr>
      <w:r>
        <w:rPr>
          <w:rFonts w:eastAsia="TimesNewRomanPSMT"/>
          <w:sz w:val="16"/>
          <w:szCs w:val="16"/>
        </w:rPr>
      </w:r>
    </w:p>
    <w:p>
      <w:pPr>
        <w:pStyle w:val="Normal"/>
        <w:spacing w:before="0" w:after="0"/>
        <w:contextualSpacing/>
        <w:jc w:val="right"/>
        <w:rPr>
          <w:i/>
          <w:i/>
          <w:sz w:val="22"/>
          <w:szCs w:val="22"/>
        </w:rPr>
      </w:pPr>
      <w:r>
        <w:rPr>
          <w:i/>
          <w:sz w:val="22"/>
          <w:szCs w:val="22"/>
        </w:rPr>
        <w:t>.................................................................................................</w:t>
      </w:r>
    </w:p>
    <w:p>
      <w:pPr>
        <w:pStyle w:val="Normal"/>
        <w:spacing w:before="0" w:after="0"/>
        <w:contextualSpacing/>
        <w:jc w:val="right"/>
        <w:rPr>
          <w:i/>
          <w:i/>
          <w:sz w:val="22"/>
          <w:szCs w:val="22"/>
        </w:rPr>
      </w:pPr>
      <w:r>
        <w:rPr>
          <w:i/>
          <w:sz w:val="22"/>
          <w:szCs w:val="22"/>
        </w:rPr>
        <w:t>(data i czytelny podpis uprawnionego przedstawiciela (i) Wykonawcy)</w:t>
      </w:r>
    </w:p>
    <w:p>
      <w:pPr>
        <w:pStyle w:val="Normal"/>
        <w:rPr/>
      </w:pPr>
      <w:r>
        <w:rPr/>
      </w:r>
    </w:p>
    <w:sectPr>
      <w:type w:val="nextPage"/>
      <w:pgSz w:w="11906" w:h="16838"/>
      <w:pgMar w:left="1417" w:right="1417" w:header="0" w:top="709"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roman"/>
    <w:pitch w:val="variable"/>
  </w:font>
  <w:font w:name="Times New Roman">
    <w:charset w:val="ee"/>
    <w:family w:val="roman"/>
    <w:pitch w:val="variable"/>
  </w:font>
  <w:font w:name="Liberation Sans">
    <w:altName w:val="Arial"/>
    <w:charset w:val="ee"/>
    <w:family w:val="swiss"/>
    <w:pitch w:val="variable"/>
  </w:font>
  <w:font w:name="Garamond">
    <w:charset w:val="ee"/>
    <w:family w:val="roman"/>
    <w:pitch w:val="variable"/>
  </w:font>
</w:fonts>
</file>

<file path=word/settings.xml><?xml version="1.0" encoding="utf-8"?>
<w:settings xmlns:w="http://schemas.openxmlformats.org/wordprocessingml/2006/main">
  <w:zoom w:percent="100"/>
  <w:defaultTabStop w:val="708"/>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Arial" w:eastAsiaTheme="minorHAnsi"/>
        <w:sz w:val="24"/>
        <w:szCs w:val="22"/>
        <w:lang w:val="pl-PL"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5d1"/>
    <w:pPr>
      <w:widowControl/>
      <w:bidi w:val="0"/>
      <w:spacing w:lineRule="auto" w:line="240" w:before="0" w:after="0"/>
      <w:jc w:val="left"/>
    </w:pPr>
    <w:rPr>
      <w:rFonts w:ascii="Times New Roman" w:hAnsi="Times New Roman" w:eastAsia="Times New Roman" w:cs="Times New Roman"/>
      <w:color w:val="auto"/>
      <w:kern w:val="0"/>
      <w:sz w:val="24"/>
      <w:szCs w:val="24"/>
      <w:lang w:eastAsia="pl-PL" w:val="pl-PL" w:bidi="ar-SA"/>
    </w:rPr>
  </w:style>
  <w:style w:type="paragraph" w:styleId="Nagwek2">
    <w:name w:val="Heading 2"/>
    <w:basedOn w:val="Normal"/>
    <w:next w:val="Normal"/>
    <w:link w:val="Nagwek2Znak"/>
    <w:uiPriority w:val="9"/>
    <w:qFormat/>
    <w:rsid w:val="00fc65d1"/>
    <w:pPr>
      <w:keepNext w:val="true"/>
      <w:spacing w:before="0" w:after="600"/>
      <w:jc w:val="center"/>
      <w:outlineLvl w:val="1"/>
    </w:pPr>
    <w:rPr>
      <w:b/>
      <w:szCs w:val="20"/>
    </w:rPr>
  </w:style>
  <w:style w:type="character" w:styleId="DefaultParagraphFont" w:default="1">
    <w:name w:val="Default Paragraph Font"/>
    <w:uiPriority w:val="1"/>
    <w:semiHidden/>
    <w:unhideWhenUsed/>
    <w:qFormat/>
    <w:rPr/>
  </w:style>
  <w:style w:type="character" w:styleId="Nagwek2Znak" w:customStyle="1">
    <w:name w:val="Nagłówek 2 Znak"/>
    <w:basedOn w:val="DefaultParagraphFont"/>
    <w:link w:val="Nagwek2"/>
    <w:uiPriority w:val="9"/>
    <w:qFormat/>
    <w:rsid w:val="00fc65d1"/>
    <w:rPr>
      <w:rFonts w:ascii="Times New Roman" w:hAnsi="Times New Roman" w:eastAsia="Times New Roman" w:cs="Times New Roman"/>
      <w:b/>
      <w:szCs w:val="20"/>
      <w:lang w:eastAsia="pl-PL"/>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numbering" w:styleId="NoList" w:default="1">
    <w:name w:val="No List"/>
    <w:uiPriority w:val="99"/>
    <w:semiHidden/>
    <w:unhideWhenUsed/>
    <w:qFormat/>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LibreOffice/6.1.3.2$Windows_X86_64 LibreOffice_project/86daf60bf00efa86ad547e59e09d6bb77c699acb</Application>
  <Pages>1</Pages>
  <Words>202</Words>
  <Characters>1443</Characters>
  <CharactersWithSpaces>1694</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2018-08-07T10:20:00Z</dcterms:created>
  <dc:creator>Dorota Kaczmarek</dc:creator>
  <dc:description/>
  <dc:language>pl-PL</dc:language>
  <cp:lastModifiedBy/>
  <dcterms:modified xsi:type="dcterms:W3CDTF">2019-07-17T13:25:23Z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